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85E69" w:rsidP="00B85E69">
      <w:pPr>
        <w:pBdr>
          <w:bottom w:val="single" w:sz="12" w:space="1" w:color="auto"/>
        </w:pBdr>
        <w:spacing w:line="276" w:lineRule="auto"/>
        <w:rPr>
          <w:rFonts w:ascii="Arial Narrow" w:hAnsi="Arial Narrow"/>
          <w:color w:val="0066CC"/>
        </w:rPr>
      </w:pP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906485">
        <w:rPr>
          <w:rFonts w:ascii="Arial Narrow" w:hAnsi="Arial Narrow" w:cs="Arial"/>
          <w:b/>
        </w:rPr>
        <w:t>3</w:t>
      </w:r>
      <w:r w:rsidRPr="00B85E69">
        <w:rPr>
          <w:rFonts w:ascii="Arial Narrow" w:hAnsi="Arial Narrow" w:cs="Arial"/>
          <w:b/>
        </w:rPr>
        <w:t xml:space="preserve"> &amp; 201</w:t>
      </w:r>
      <w:r w:rsidR="00906485">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FD44C9" w:rsidP="00B85E69">
      <w:pPr>
        <w:spacing w:line="276" w:lineRule="auto"/>
        <w:rPr>
          <w:rFonts w:ascii="Arial Narrow" w:hAnsi="Arial Narrow"/>
          <w:b/>
          <w:bCs/>
        </w:rPr>
      </w:pPr>
      <w:r>
        <w:rPr>
          <w:rFonts w:ascii="Arial Narrow" w:hAnsi="Arial Narrow"/>
          <w:b/>
        </w:rPr>
        <w:t>Executive Full Hat</w:t>
      </w:r>
      <w:r w:rsidR="00DA1C8F">
        <w:rPr>
          <w:rFonts w:ascii="Arial Narrow" w:hAnsi="Arial Narrow"/>
          <w:b/>
        </w:rPr>
        <w:t xml:space="preserve"> </w:t>
      </w:r>
      <w:r w:rsidR="00856490" w:rsidRPr="001C06C0">
        <w:rPr>
          <w:rFonts w:ascii="Arial Narrow" w:hAnsi="Arial Narrow"/>
          <w:b/>
        </w:rPr>
        <w:t xml:space="preserve">– </w:t>
      </w:r>
      <w:r w:rsidR="00E67869">
        <w:rPr>
          <w:rFonts w:ascii="Arial Narrow" w:hAnsi="Arial Narrow"/>
          <w:b/>
        </w:rPr>
        <w:t xml:space="preserve"> </w:t>
      </w:r>
      <w:r w:rsidR="001C06C0" w:rsidRPr="001C06C0">
        <w:rPr>
          <w:rFonts w:ascii="Arial Narrow" w:hAnsi="Arial Narrow"/>
          <w:b/>
        </w:rPr>
        <w:t>1</w:t>
      </w:r>
      <w:r>
        <w:rPr>
          <w:rFonts w:ascii="Arial Narrow" w:hAnsi="Arial Narrow"/>
          <w:b/>
        </w:rPr>
        <w:t>2</w:t>
      </w:r>
      <w:r w:rsidR="00E67869">
        <w:rPr>
          <w:rFonts w:ascii="Arial Narrow" w:hAnsi="Arial Narrow"/>
          <w:b/>
        </w:rPr>
        <w:t xml:space="preserve"> </w:t>
      </w:r>
      <w:r w:rsidR="00856490" w:rsidRPr="001C06C0">
        <w:rPr>
          <w:rFonts w:ascii="Arial Narrow" w:hAnsi="Arial Narrow"/>
          <w:b/>
        </w:rPr>
        <w:t>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906485"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6485" w:rsidRPr="00B85E69" w:rsidRDefault="00906485" w:rsidP="00357E6A">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906485" w:rsidRPr="00B85E69" w:rsidRDefault="00906485" w:rsidP="00357E6A">
            <w:pPr>
              <w:spacing w:line="276" w:lineRule="auto"/>
              <w:jc w:val="center"/>
              <w:rPr>
                <w:rFonts w:ascii="Arial Narrow" w:eastAsia="Calibri" w:hAnsi="Arial Narrow" w:cs="Calibri"/>
              </w:rPr>
            </w:pPr>
            <w:r>
              <w:rPr>
                <w:rFonts w:ascii="Arial Narrow" w:eastAsia="Calibri" w:hAnsi="Arial Narrow" w:cs="Calibri"/>
              </w:rPr>
              <w:t>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6485" w:rsidRPr="00B85E69" w:rsidRDefault="00906485" w:rsidP="00357E6A">
            <w:pPr>
              <w:spacing w:line="276" w:lineRule="auto"/>
              <w:jc w:val="center"/>
              <w:rPr>
                <w:rFonts w:ascii="Arial Narrow" w:eastAsia="Calibri" w:hAnsi="Arial Narrow" w:cs="Calibri"/>
              </w:rPr>
            </w:pPr>
            <w:r>
              <w:rPr>
                <w:rFonts w:ascii="Arial Narrow" w:eastAsia="Calibri" w:hAnsi="Arial Narrow" w:cs="Calibri"/>
              </w:rPr>
              <w:t>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6485" w:rsidRPr="00B85E69" w:rsidRDefault="00906485" w:rsidP="00357E6A">
            <w:pPr>
              <w:spacing w:line="276" w:lineRule="auto"/>
              <w:jc w:val="center"/>
              <w:rPr>
                <w:rFonts w:ascii="Arial Narrow" w:eastAsia="Calibri" w:hAnsi="Arial Narrow" w:cs="Calibri"/>
              </w:rPr>
            </w:pPr>
            <w:r>
              <w:rPr>
                <w:rFonts w:ascii="Arial Narrow" w:eastAsia="Calibri" w:hAnsi="Arial Narrow" w:cs="Calibri"/>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6485" w:rsidRPr="00B85E69" w:rsidRDefault="00906485" w:rsidP="00357E6A">
            <w:pPr>
              <w:spacing w:line="276" w:lineRule="auto"/>
              <w:jc w:val="center"/>
              <w:rPr>
                <w:rFonts w:ascii="Arial Narrow" w:eastAsia="Calibri" w:hAnsi="Arial Narrow" w:cs="Calibri"/>
              </w:rPr>
            </w:pPr>
            <w:r>
              <w:rPr>
                <w:rFonts w:ascii="Arial Narrow" w:eastAsia="Calibri" w:hAnsi="Arial Narrow" w:cs="Calibri"/>
              </w:rPr>
              <w:t>100%</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906485">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C75856" w:rsidP="00B85E69">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C75856" w:rsidP="00B85E69">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C75856" w:rsidP="00B85E69">
            <w:pPr>
              <w:spacing w:line="276" w:lineRule="auto"/>
              <w:jc w:val="center"/>
              <w:rPr>
                <w:rFonts w:ascii="Arial Narrow" w:eastAsia="Calibri" w:hAnsi="Arial Narrow" w:cs="Calibri"/>
              </w:rPr>
            </w:pPr>
            <w:r>
              <w:rPr>
                <w:rFonts w:ascii="Arial Narrow" w:eastAsia="Calibri" w:hAnsi="Arial Narrow" w:cs="Calibri"/>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C75856" w:rsidP="002D4B99">
            <w:pPr>
              <w:spacing w:line="276" w:lineRule="auto"/>
              <w:jc w:val="center"/>
              <w:rPr>
                <w:rFonts w:ascii="Arial Narrow" w:eastAsia="Calibri" w:hAnsi="Arial Narrow" w:cs="Calibri"/>
              </w:rPr>
            </w:pPr>
            <w:r>
              <w:rPr>
                <w:rFonts w:ascii="Arial Narrow" w:eastAsia="Calibri" w:hAnsi="Arial Narrow" w:cs="Calibri"/>
              </w:rPr>
              <w:t>100%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FD44C9" w:rsidRPr="001C06C0" w:rsidRDefault="00FD44C9" w:rsidP="00FD44C9">
      <w:pPr>
        <w:spacing w:line="276" w:lineRule="auto"/>
        <w:rPr>
          <w:rFonts w:ascii="Arial Narrow" w:hAnsi="Arial Narrow"/>
          <w:b/>
          <w:bCs/>
        </w:rPr>
      </w:pPr>
      <w:r>
        <w:rPr>
          <w:rFonts w:ascii="Arial Narrow" w:hAnsi="Arial Narrow"/>
          <w:b/>
        </w:rPr>
        <w:t xml:space="preserve">Executive Full Hat </w:t>
      </w:r>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 xml:space="preserve">2 </w:t>
      </w:r>
      <w:r w:rsidRPr="001C06C0">
        <w:rPr>
          <w:rFonts w:ascii="Arial Narrow" w:hAnsi="Arial Narrow"/>
          <w:b/>
        </w:rPr>
        <w:t>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906485"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6485" w:rsidRPr="001C06C0" w:rsidRDefault="00906485" w:rsidP="00357E6A">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1</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906485" w:rsidRPr="001C06C0" w:rsidRDefault="00906485" w:rsidP="00357E6A">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C06C0">
            <w:pPr>
              <w:spacing w:line="276" w:lineRule="auto"/>
              <w:jc w:val="center"/>
              <w:rPr>
                <w:rFonts w:ascii="Arial Narrow" w:hAnsi="Arial Narrow"/>
                <w:bCs/>
              </w:rPr>
            </w:pPr>
            <w:r w:rsidRPr="001C06C0">
              <w:rPr>
                <w:rFonts w:ascii="Arial Narrow" w:hAnsi="Arial Narrow"/>
                <w:bCs/>
              </w:rPr>
              <w:t>201</w:t>
            </w:r>
            <w:r w:rsidR="00906485">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1</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E64879" w:rsidP="00024C89">
            <w:pPr>
              <w:spacing w:line="276" w:lineRule="auto"/>
              <w:jc w:val="center"/>
              <w:rPr>
                <w:rFonts w:ascii="Arial Narrow" w:hAnsi="Arial Narrow"/>
                <w:bCs/>
              </w:rPr>
            </w:pPr>
            <w:r>
              <w:rPr>
                <w:rFonts w:ascii="Arial Narrow" w:hAnsi="Arial Narrow"/>
                <w:bCs/>
              </w:rPr>
              <w:t>100%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C75856"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r w:rsidRPr="00B85E69">
        <w:rPr>
          <w:rFonts w:ascii="Arial Narrow" w:hAnsi="Arial Narrow" w:cs="Arial"/>
          <w:vertAlign w:val="superscript"/>
        </w:rPr>
        <w:t>5</w:t>
      </w:r>
      <w:r w:rsidRPr="00B85E69">
        <w:rPr>
          <w:rFonts w:ascii="Arial Narrow" w:hAnsi="Arial Narrow" w:cs="Arial"/>
        </w:rPr>
        <w:t xml:space="preserve">“Placement Rate is calculated by dividing the number of graduates gainfully employed in the field by the number of graduates available for employment.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Licensure Rates  -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FD44C9" w:rsidRPr="001C06C0" w:rsidRDefault="00FD44C9" w:rsidP="00FD44C9">
      <w:pPr>
        <w:spacing w:line="276" w:lineRule="auto"/>
        <w:rPr>
          <w:rFonts w:ascii="Arial Narrow" w:hAnsi="Arial Narrow"/>
          <w:b/>
          <w:bCs/>
        </w:rPr>
      </w:pPr>
      <w:r>
        <w:rPr>
          <w:rFonts w:ascii="Arial Narrow" w:hAnsi="Arial Narrow"/>
          <w:b/>
        </w:rPr>
        <w:t xml:space="preserve">Executive Full Hat </w:t>
      </w:r>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 xml:space="preserve">2 </w:t>
      </w:r>
      <w:r w:rsidRPr="001C06C0">
        <w:rPr>
          <w:rFonts w:ascii="Arial Narrow" w:hAnsi="Arial Narrow"/>
          <w:b/>
        </w:rPr>
        <w:t>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906485" w:rsidRPr="00B85E69" w:rsidTr="001C06C0">
        <w:trPr>
          <w:trHeight w:val="404"/>
        </w:trPr>
        <w:tc>
          <w:tcPr>
            <w:tcW w:w="1080" w:type="dxa"/>
            <w:shd w:val="clear" w:color="auto" w:fill="auto"/>
            <w:vAlign w:val="center"/>
          </w:tcPr>
          <w:p w:rsidR="00906485" w:rsidRPr="001C06C0" w:rsidRDefault="00906485" w:rsidP="00357E6A">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906485" w:rsidRPr="001C06C0" w:rsidRDefault="00906485" w:rsidP="00357E6A">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906485" w:rsidRPr="001C06C0" w:rsidRDefault="00906485" w:rsidP="00357E6A">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906485" w:rsidRPr="001C06C0" w:rsidRDefault="00906485" w:rsidP="00357E6A">
            <w:pPr>
              <w:spacing w:line="276" w:lineRule="auto"/>
              <w:jc w:val="center"/>
              <w:rPr>
                <w:rFonts w:ascii="Arial Narrow" w:hAnsi="Arial Narrow" w:cs="Arial"/>
                <w:color w:val="FF0000"/>
              </w:rPr>
            </w:pPr>
          </w:p>
        </w:tc>
        <w:tc>
          <w:tcPr>
            <w:tcW w:w="1260" w:type="dxa"/>
            <w:shd w:val="clear" w:color="auto" w:fill="auto"/>
            <w:vAlign w:val="center"/>
          </w:tcPr>
          <w:p w:rsidR="00906485" w:rsidRPr="001C06C0" w:rsidRDefault="00906485" w:rsidP="00357E6A">
            <w:pPr>
              <w:spacing w:line="276" w:lineRule="auto"/>
              <w:jc w:val="center"/>
              <w:rPr>
                <w:rFonts w:ascii="Arial Narrow" w:hAnsi="Arial Narrow" w:cs="Arial"/>
                <w:color w:val="FF0000"/>
              </w:rPr>
            </w:pPr>
          </w:p>
        </w:tc>
        <w:tc>
          <w:tcPr>
            <w:tcW w:w="1260" w:type="dxa"/>
            <w:shd w:val="clear" w:color="auto" w:fill="auto"/>
            <w:vAlign w:val="center"/>
          </w:tcPr>
          <w:p w:rsidR="00906485" w:rsidRPr="001C06C0" w:rsidRDefault="00906485" w:rsidP="00357E6A">
            <w:pPr>
              <w:spacing w:line="276" w:lineRule="auto"/>
              <w:jc w:val="center"/>
              <w:rPr>
                <w:rFonts w:ascii="Arial Narrow" w:hAnsi="Arial Narrow" w:cs="Arial"/>
                <w:color w:val="FF0000"/>
              </w:rPr>
            </w:pPr>
          </w:p>
        </w:tc>
        <w:tc>
          <w:tcPr>
            <w:tcW w:w="1260" w:type="dxa"/>
            <w:shd w:val="clear" w:color="auto" w:fill="auto"/>
            <w:vAlign w:val="center"/>
          </w:tcPr>
          <w:p w:rsidR="00906485" w:rsidRPr="001C06C0" w:rsidRDefault="00906485" w:rsidP="00357E6A">
            <w:pPr>
              <w:spacing w:line="276" w:lineRule="auto"/>
              <w:jc w:val="center"/>
              <w:rPr>
                <w:rFonts w:ascii="Arial Narrow" w:hAnsi="Arial Narrow" w:cs="Arial"/>
                <w:color w:val="FF0000"/>
              </w:rPr>
            </w:pPr>
          </w:p>
        </w:tc>
        <w:tc>
          <w:tcPr>
            <w:tcW w:w="1710" w:type="dxa"/>
            <w:shd w:val="clear" w:color="auto" w:fill="auto"/>
            <w:vAlign w:val="center"/>
          </w:tcPr>
          <w:p w:rsidR="00906485" w:rsidRPr="001C06C0" w:rsidRDefault="00906485" w:rsidP="00357E6A">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906485">
              <w:rPr>
                <w:rFonts w:ascii="Arial Narrow" w:hAnsi="Arial Narrow" w:cs="Arial"/>
              </w:rPr>
              <w:t>4</w:t>
            </w:r>
          </w:p>
        </w:tc>
        <w:tc>
          <w:tcPr>
            <w:tcW w:w="1530" w:type="dxa"/>
            <w:shd w:val="clear" w:color="auto" w:fill="auto"/>
            <w:vAlign w:val="center"/>
          </w:tcPr>
          <w:p w:rsidR="001C06C0" w:rsidRPr="001C06C0" w:rsidRDefault="00C75856"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C75856"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C75856"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6A" w:rsidRDefault="00357E6A">
      <w:r>
        <w:separator/>
      </w:r>
    </w:p>
  </w:endnote>
  <w:endnote w:type="continuationSeparator" w:id="0">
    <w:p w:rsidR="00357E6A" w:rsidRDefault="0035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6A" w:rsidRPr="00856490" w:rsidRDefault="00357E6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E600AA"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E600AA" w:rsidRPr="00856490">
      <w:rPr>
        <w:rFonts w:ascii="Arial Narrow" w:hAnsi="Arial Narrow"/>
        <w:sz w:val="18"/>
        <w:szCs w:val="18"/>
      </w:rPr>
      <w:fldChar w:fldCharType="separate"/>
    </w:r>
    <w:r w:rsidR="00E64879">
      <w:rPr>
        <w:rFonts w:ascii="Arial Narrow" w:hAnsi="Arial Narrow"/>
        <w:noProof/>
        <w:sz w:val="18"/>
        <w:szCs w:val="18"/>
      </w:rPr>
      <w:t>2</w:t>
    </w:r>
    <w:r w:rsidR="00E600AA" w:rsidRPr="00856490">
      <w:rPr>
        <w:rFonts w:ascii="Arial Narrow" w:hAnsi="Arial Narrow"/>
        <w:sz w:val="18"/>
        <w:szCs w:val="18"/>
      </w:rPr>
      <w:fldChar w:fldCharType="end"/>
    </w:r>
  </w:p>
  <w:p w:rsidR="00357E6A" w:rsidRPr="00856490" w:rsidRDefault="00357E6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357E6A" w:rsidRPr="00856490" w:rsidRDefault="00357E6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357E6A" w:rsidRPr="007E76DC" w:rsidRDefault="00357E6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6A" w:rsidRDefault="00357E6A">
      <w:r>
        <w:separator/>
      </w:r>
    </w:p>
  </w:footnote>
  <w:footnote w:type="continuationSeparator" w:id="0">
    <w:p w:rsidR="00357E6A" w:rsidRDefault="0035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6A" w:rsidRPr="005554B7" w:rsidRDefault="00357E6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357E6A" w:rsidRPr="005554B7" w:rsidRDefault="00357E6A" w:rsidP="00B85E69">
    <w:pPr>
      <w:spacing w:line="276" w:lineRule="auto"/>
      <w:rPr>
        <w:rFonts w:ascii="Arial Narrow" w:hAnsi="Arial Narrow"/>
      </w:rPr>
    </w:pPr>
    <w:r w:rsidRPr="005554B7">
      <w:rPr>
        <w:rFonts w:ascii="Arial Narrow" w:hAnsi="Arial Narrow"/>
      </w:rPr>
      <w:t>320 North Vermont Ave., Los Angeles, California 90004</w:t>
    </w:r>
  </w:p>
  <w:p w:rsidR="00357E6A" w:rsidRPr="005554B7" w:rsidRDefault="00E600AA"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357E6A" w:rsidRDefault="00357E6A" w:rsidP="00B85E69">
                <w:pPr>
                  <w:rPr>
                    <w:rFonts w:ascii="Arial" w:hAnsi="Arial" w:cs="Arial"/>
                    <w:sz w:val="12"/>
                    <w:szCs w:val="12"/>
                  </w:rPr>
                </w:pPr>
                <w:r>
                  <w:rPr>
                    <w:rFonts w:ascii="Arial" w:hAnsi="Arial" w:cs="Arial"/>
                    <w:sz w:val="12"/>
                    <w:szCs w:val="12"/>
                  </w:rPr>
                  <w:t>TM</w:t>
                </w:r>
              </w:p>
            </w:txbxContent>
          </v:textbox>
        </v:shape>
      </w:pict>
    </w:r>
    <w:r w:rsidR="00357E6A" w:rsidRPr="005554B7">
      <w:rPr>
        <w:rFonts w:ascii="Arial Narrow" w:hAnsi="Arial Narrow"/>
      </w:rPr>
      <w:t xml:space="preserve">Phone: 323-660-8685, Fax: 323-912-1984 </w:t>
    </w:r>
  </w:p>
  <w:p w:rsidR="00357E6A" w:rsidRPr="005554B7" w:rsidRDefault="00357E6A" w:rsidP="00B85E69">
    <w:pPr>
      <w:spacing w:line="276" w:lineRule="auto"/>
      <w:rPr>
        <w:rFonts w:ascii="Arial Narrow" w:hAnsi="Arial Narrow"/>
      </w:rPr>
    </w:pPr>
    <w:r>
      <w:rPr>
        <w:rFonts w:ascii="Arial Narrow" w:hAnsi="Arial Narrow"/>
      </w:rPr>
      <w:t>e</w:t>
    </w:r>
    <w:r w:rsidRPr="005554B7">
      <w:rPr>
        <w:rFonts w:ascii="Arial Narrow" w:hAnsi="Arial Narrow"/>
      </w:rPr>
      <w:t xml:space="preserve">-mail: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357E6A" w:rsidRDefault="00357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5621"/>
    <w:rsid w:val="00076EA3"/>
    <w:rsid w:val="00081546"/>
    <w:rsid w:val="00083581"/>
    <w:rsid w:val="000850B4"/>
    <w:rsid w:val="0009172E"/>
    <w:rsid w:val="000946C1"/>
    <w:rsid w:val="0009591E"/>
    <w:rsid w:val="00095DC3"/>
    <w:rsid w:val="00097C7A"/>
    <w:rsid w:val="000A18B0"/>
    <w:rsid w:val="000B2AD9"/>
    <w:rsid w:val="000B33AA"/>
    <w:rsid w:val="000C067D"/>
    <w:rsid w:val="000C1058"/>
    <w:rsid w:val="000C709F"/>
    <w:rsid w:val="000D01FE"/>
    <w:rsid w:val="000D0F35"/>
    <w:rsid w:val="000E4346"/>
    <w:rsid w:val="000F1043"/>
    <w:rsid w:val="000F21EA"/>
    <w:rsid w:val="000F5168"/>
    <w:rsid w:val="001004B4"/>
    <w:rsid w:val="00101132"/>
    <w:rsid w:val="00105AF5"/>
    <w:rsid w:val="0011146B"/>
    <w:rsid w:val="001147C6"/>
    <w:rsid w:val="00120EE7"/>
    <w:rsid w:val="00121C5D"/>
    <w:rsid w:val="001225B8"/>
    <w:rsid w:val="00123FEE"/>
    <w:rsid w:val="0012627A"/>
    <w:rsid w:val="0014567D"/>
    <w:rsid w:val="001535BC"/>
    <w:rsid w:val="00154DC7"/>
    <w:rsid w:val="00156633"/>
    <w:rsid w:val="00160029"/>
    <w:rsid w:val="001611B1"/>
    <w:rsid w:val="00165D9B"/>
    <w:rsid w:val="001843FE"/>
    <w:rsid w:val="001859B9"/>
    <w:rsid w:val="001A303B"/>
    <w:rsid w:val="001A451D"/>
    <w:rsid w:val="001A53FA"/>
    <w:rsid w:val="001A7626"/>
    <w:rsid w:val="001B16FF"/>
    <w:rsid w:val="001B1805"/>
    <w:rsid w:val="001C06C0"/>
    <w:rsid w:val="001C37CA"/>
    <w:rsid w:val="001C57D0"/>
    <w:rsid w:val="001C5C1A"/>
    <w:rsid w:val="001D0DAF"/>
    <w:rsid w:val="001D158E"/>
    <w:rsid w:val="001D1F5A"/>
    <w:rsid w:val="001D4431"/>
    <w:rsid w:val="001E2CC2"/>
    <w:rsid w:val="001E362A"/>
    <w:rsid w:val="001E382E"/>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4B99"/>
    <w:rsid w:val="002D611B"/>
    <w:rsid w:val="002E07FD"/>
    <w:rsid w:val="002E0E3C"/>
    <w:rsid w:val="002E1F48"/>
    <w:rsid w:val="002E2C26"/>
    <w:rsid w:val="002E4B11"/>
    <w:rsid w:val="002E4F05"/>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57E6A"/>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E470C"/>
    <w:rsid w:val="003E4963"/>
    <w:rsid w:val="003E6341"/>
    <w:rsid w:val="003F01BF"/>
    <w:rsid w:val="003F43F0"/>
    <w:rsid w:val="003F6189"/>
    <w:rsid w:val="003F7E3F"/>
    <w:rsid w:val="0040008E"/>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4F72"/>
    <w:rsid w:val="004650C8"/>
    <w:rsid w:val="00473EA3"/>
    <w:rsid w:val="00474791"/>
    <w:rsid w:val="00476489"/>
    <w:rsid w:val="00476D27"/>
    <w:rsid w:val="00477B8D"/>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371A"/>
    <w:rsid w:val="005D6B53"/>
    <w:rsid w:val="005D7170"/>
    <w:rsid w:val="005D7300"/>
    <w:rsid w:val="005D7330"/>
    <w:rsid w:val="005E15C0"/>
    <w:rsid w:val="005E489B"/>
    <w:rsid w:val="005E6B4F"/>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64A7"/>
    <w:rsid w:val="00650438"/>
    <w:rsid w:val="006527FD"/>
    <w:rsid w:val="00657AAA"/>
    <w:rsid w:val="0066645A"/>
    <w:rsid w:val="006710C8"/>
    <w:rsid w:val="006725D5"/>
    <w:rsid w:val="00672DED"/>
    <w:rsid w:val="00677619"/>
    <w:rsid w:val="00680736"/>
    <w:rsid w:val="006814B5"/>
    <w:rsid w:val="00682E76"/>
    <w:rsid w:val="00685A2D"/>
    <w:rsid w:val="00691824"/>
    <w:rsid w:val="00693571"/>
    <w:rsid w:val="006967F7"/>
    <w:rsid w:val="00696F24"/>
    <w:rsid w:val="006971EA"/>
    <w:rsid w:val="006979AB"/>
    <w:rsid w:val="006A023B"/>
    <w:rsid w:val="006A27C1"/>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485"/>
    <w:rsid w:val="00906AC4"/>
    <w:rsid w:val="00906B17"/>
    <w:rsid w:val="00906D3D"/>
    <w:rsid w:val="00907A30"/>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790B"/>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61D15"/>
    <w:rsid w:val="00B664AE"/>
    <w:rsid w:val="00B66E6D"/>
    <w:rsid w:val="00B67FA5"/>
    <w:rsid w:val="00B7027A"/>
    <w:rsid w:val="00B75089"/>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75856"/>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60BB"/>
    <w:rsid w:val="00CF3CF9"/>
    <w:rsid w:val="00D01229"/>
    <w:rsid w:val="00D0687D"/>
    <w:rsid w:val="00D06C84"/>
    <w:rsid w:val="00D07FDB"/>
    <w:rsid w:val="00D116E5"/>
    <w:rsid w:val="00D130A9"/>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0602"/>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0AA"/>
    <w:rsid w:val="00E6095E"/>
    <w:rsid w:val="00E64879"/>
    <w:rsid w:val="00E64D42"/>
    <w:rsid w:val="00E65271"/>
    <w:rsid w:val="00E67869"/>
    <w:rsid w:val="00E705ED"/>
    <w:rsid w:val="00E720B9"/>
    <w:rsid w:val="00E73442"/>
    <w:rsid w:val="00E741E4"/>
    <w:rsid w:val="00E74C23"/>
    <w:rsid w:val="00E764B2"/>
    <w:rsid w:val="00E771C3"/>
    <w:rsid w:val="00E825E3"/>
    <w:rsid w:val="00E83990"/>
    <w:rsid w:val="00E83EA3"/>
    <w:rsid w:val="00E84548"/>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C40"/>
    <w:rsid w:val="00F30512"/>
    <w:rsid w:val="00F30C8D"/>
    <w:rsid w:val="00F35F9E"/>
    <w:rsid w:val="00F3603E"/>
    <w:rsid w:val="00F4055A"/>
    <w:rsid w:val="00F41531"/>
    <w:rsid w:val="00F4202B"/>
    <w:rsid w:val="00F45947"/>
    <w:rsid w:val="00F45EE2"/>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B3DE8"/>
    <w:rsid w:val="00FB49A2"/>
    <w:rsid w:val="00FB7000"/>
    <w:rsid w:val="00FC5003"/>
    <w:rsid w:val="00FC7E48"/>
    <w:rsid w:val="00FD2ED6"/>
    <w:rsid w:val="00FD441A"/>
    <w:rsid w:val="00FD44C9"/>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4.xml><?xml version="1.0" encoding="utf-8"?>
<ds:datastoreItem xmlns:ds="http://schemas.openxmlformats.org/officeDocument/2006/customXml" ds:itemID="{3813A4F9-B056-4D78-A01E-8261DCE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896</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6182</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9</cp:revision>
  <cp:lastPrinted>2015-08-26T17:14:00Z</cp:lastPrinted>
  <dcterms:created xsi:type="dcterms:W3CDTF">2014-09-24T22:05:00Z</dcterms:created>
  <dcterms:modified xsi:type="dcterms:W3CDTF">2015-08-26T17:16:00Z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